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A52DBC">
        <w:rPr>
          <w:rFonts w:ascii="Century" w:eastAsia="ＭＳ 明朝" w:hAnsi="Century" w:hint="eastAsia"/>
          <w:b/>
          <w:sz w:val="20"/>
          <w:szCs w:val="20"/>
        </w:rPr>
        <w:t>5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002BC7">
        <w:rPr>
          <w:rFonts w:ascii="ＭＳ 明朝" w:eastAsia="ＭＳ 明朝" w:hAnsi="ＭＳ 明朝" w:hint="eastAsia"/>
          <w:b/>
          <w:sz w:val="20"/>
          <w:szCs w:val="20"/>
        </w:rPr>
        <w:t>6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F210DF" w:rsidRPr="00CE3503" w:rsidRDefault="00F210DF" w:rsidP="00F210DF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E350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Pr="00CE350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CE350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210DF" w:rsidRPr="00FD2728" w:rsidRDefault="00F210DF" w:rsidP="00F210D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</w:rPr>
        <w:t>（大阪）</w:t>
      </w:r>
      <w:r w:rsidRPr="00FD2728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711B51" w:rsidRPr="00711B51" w:rsidRDefault="00711B51" w:rsidP="00711B5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11B5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5日（金）</w:t>
      </w:r>
    </w:p>
    <w:p w:rsidR="00711B51" w:rsidRPr="00711B51" w:rsidRDefault="00711B51" w:rsidP="00711B5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（東京）大手町ファーストスクエアカンファレンスにおいて「講演会」が輸出組合、輸入組合の共催で開催され、株式会社エナジェティック・グリーン・和田共同代表を講師に迎え「</w:t>
      </w:r>
      <w:r w:rsidR="00CB14B8" w:rsidRPr="00CB14B8">
        <w:rPr>
          <w:rFonts w:ascii="ＭＳ 明朝" w:eastAsia="ＭＳ 明朝" w:hAnsi="ＭＳ 明朝" w:hint="eastAsia"/>
          <w:sz w:val="20"/>
          <w:szCs w:val="20"/>
        </w:rPr>
        <w:t>繊</w:t>
      </w:r>
      <w:r w:rsidR="00CB14B8" w:rsidRPr="000760EA">
        <w:rPr>
          <w:rFonts w:ascii="ＭＳ 明朝" w:eastAsia="ＭＳ 明朝" w:hAnsi="ＭＳ 明朝" w:hint="eastAsia"/>
          <w:sz w:val="20"/>
          <w:szCs w:val="20"/>
        </w:rPr>
        <w:t>維とＣＳＲ</w:t>
      </w:r>
      <w:r w:rsidRPr="000760EA">
        <w:rPr>
          <w:rFonts w:ascii="ＭＳ 明朝" w:eastAsia="ＭＳ 明朝" w:hAnsi="ＭＳ 明朝" w:hint="eastAsia"/>
          <w:sz w:val="20"/>
          <w:szCs w:val="20"/>
        </w:rPr>
        <w:t>」と題して講演があり、組合員</w:t>
      </w:r>
      <w:r w:rsidR="000760EA" w:rsidRPr="000760EA">
        <w:rPr>
          <w:rFonts w:ascii="ＭＳ 明朝" w:eastAsia="ＭＳ 明朝" w:hAnsi="ＭＳ 明朝" w:hint="eastAsia"/>
          <w:sz w:val="20"/>
          <w:szCs w:val="20"/>
        </w:rPr>
        <w:t>21</w:t>
      </w:r>
      <w:r w:rsidRPr="000760EA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F45983" w:rsidRPr="00A01FBB" w:rsidRDefault="00F45983" w:rsidP="00F45983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 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45983" w:rsidRPr="005A0201" w:rsidRDefault="00F45983" w:rsidP="00F4598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5A0201">
        <w:rPr>
          <w:rFonts w:ascii="ＭＳ 明朝" w:eastAsia="ＭＳ 明朝" w:hAnsi="ＭＳ 明朝" w:hint="eastAsia"/>
          <w:sz w:val="20"/>
          <w:szCs w:val="20"/>
        </w:rPr>
        <w:t>（大阪）台湾紡拓会の</w:t>
      </w:r>
      <w:r w:rsidR="005A0201" w:rsidRPr="005A0201">
        <w:rPr>
          <w:rFonts w:ascii="ＭＳ 明朝" w:eastAsia="ＭＳ 明朝" w:hAnsi="ＭＳ 明朝" w:hint="eastAsia"/>
          <w:sz w:val="20"/>
          <w:szCs w:val="20"/>
        </w:rPr>
        <w:t>王恵蘭市場開発所副所長</w:t>
      </w:r>
      <w:r w:rsidRPr="005A0201">
        <w:rPr>
          <w:rFonts w:ascii="ＭＳ 明朝" w:eastAsia="ＭＳ 明朝" w:hAnsi="ＭＳ 明朝" w:hint="eastAsia"/>
          <w:sz w:val="20"/>
          <w:szCs w:val="20"/>
        </w:rPr>
        <w:t>との懇談が行われた。</w:t>
      </w:r>
    </w:p>
    <w:p w:rsidR="00711B51" w:rsidRPr="00711B51" w:rsidRDefault="00711B51" w:rsidP="00711B5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11B5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9日（火）</w:t>
      </w:r>
    </w:p>
    <w:p w:rsidR="00711B51" w:rsidRPr="00711B51" w:rsidRDefault="00711B51" w:rsidP="00711B5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（大阪）「講演会」が輸出組合、輸入組合、テキスタイル倶楽部の3団体共催で開催され、</w:t>
      </w:r>
      <w:r>
        <w:rPr>
          <w:rFonts w:ascii="ＭＳ 明朝" w:eastAsia="ＭＳ 明朝" w:hAnsi="ＭＳ 明朝" w:hint="eastAsia"/>
          <w:sz w:val="20"/>
          <w:szCs w:val="20"/>
        </w:rPr>
        <w:t>株式会社エナジェティック・グリーン・和田共同代表</w:t>
      </w:r>
      <w:r w:rsidRPr="00711B51">
        <w:rPr>
          <w:rFonts w:ascii="ＭＳ 明朝" w:eastAsia="ＭＳ 明朝" w:hAnsi="ＭＳ 明朝" w:hint="eastAsia"/>
          <w:sz w:val="20"/>
          <w:szCs w:val="20"/>
        </w:rPr>
        <w:t>を講師に迎え「</w:t>
      </w:r>
      <w:r w:rsidR="00CB14B8" w:rsidRPr="00627924">
        <w:rPr>
          <w:rFonts w:ascii="ＭＳ 明朝" w:eastAsia="ＭＳ 明朝" w:hAnsi="ＭＳ 明朝" w:hint="eastAsia"/>
          <w:sz w:val="20"/>
          <w:szCs w:val="20"/>
        </w:rPr>
        <w:t>繊維とＣＳＲ</w:t>
      </w:r>
      <w:r w:rsidRPr="00711B51">
        <w:rPr>
          <w:rFonts w:ascii="ＭＳ 明朝" w:eastAsia="ＭＳ 明朝" w:hAnsi="ＭＳ 明朝" w:hint="eastAsia"/>
          <w:sz w:val="20"/>
          <w:szCs w:val="20"/>
        </w:rPr>
        <w:t>」と題し</w:t>
      </w:r>
      <w:r w:rsidRPr="00B75540">
        <w:rPr>
          <w:rFonts w:ascii="ＭＳ 明朝" w:eastAsia="ＭＳ 明朝" w:hAnsi="ＭＳ 明朝" w:hint="eastAsia"/>
          <w:sz w:val="20"/>
          <w:szCs w:val="20"/>
        </w:rPr>
        <w:t>て講演があり、組合員</w:t>
      </w:r>
      <w:r w:rsidR="00B75540" w:rsidRPr="00B75540">
        <w:rPr>
          <w:rFonts w:ascii="ＭＳ 明朝" w:eastAsia="ＭＳ 明朝" w:hAnsi="ＭＳ 明朝" w:hint="eastAsia"/>
          <w:sz w:val="20"/>
          <w:szCs w:val="20"/>
        </w:rPr>
        <w:t>34</w:t>
      </w:r>
      <w:r w:rsidRPr="00B75540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B436EE" w:rsidRDefault="00711B51" w:rsidP="00B436E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10</w:t>
      </w:r>
      <w:r w:rsid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日（水）～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12</w:t>
      </w:r>
      <w:r w:rsidR="00B436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（金）</w:t>
      </w:r>
    </w:p>
    <w:p w:rsidR="00BB25B9" w:rsidRDefault="00BB25B9" w:rsidP="00BB25B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（東京）東京ビックサイトで開催された「インテリアライフスタイル展</w:t>
      </w:r>
      <w:r>
        <w:rPr>
          <w:rFonts w:ascii="ＭＳ 明朝" w:eastAsia="ＭＳ 明朝" w:hAnsi="ＭＳ 明朝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にホームテキスタイル委員会が出展した。</w:t>
      </w:r>
    </w:p>
    <w:p w:rsidR="00627924" w:rsidRPr="00711B51" w:rsidRDefault="00627924" w:rsidP="00627924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10</w:t>
      </w:r>
      <w:r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水</w:t>
      </w:r>
      <w:r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627924" w:rsidRPr="00F210DF" w:rsidRDefault="00627924" w:rsidP="00627924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（東京）「第114回ホームテキスタイル委員会」が開催され</w:t>
      </w:r>
      <w:r w:rsidRPr="00627924">
        <w:rPr>
          <w:rFonts w:ascii="ＭＳ 明朝" w:eastAsia="ＭＳ 明朝" w:hAnsi="ＭＳ 明朝" w:hint="eastAsia"/>
          <w:sz w:val="20"/>
          <w:szCs w:val="20"/>
        </w:rPr>
        <w:t>①</w:t>
      </w:r>
      <w:r w:rsidR="00846EFD">
        <w:rPr>
          <w:rFonts w:ascii="ＭＳ 明朝" w:eastAsia="ＭＳ 明朝" w:hAnsi="ＭＳ 明朝" w:hint="eastAsia"/>
          <w:sz w:val="20"/>
          <w:szCs w:val="20"/>
        </w:rPr>
        <w:t>正副委員長</w:t>
      </w:r>
      <w:r w:rsidR="00682F0A">
        <w:rPr>
          <w:rFonts w:ascii="ＭＳ 明朝" w:eastAsia="ＭＳ 明朝" w:hAnsi="ＭＳ 明朝" w:hint="eastAsia"/>
          <w:sz w:val="20"/>
          <w:szCs w:val="20"/>
        </w:rPr>
        <w:t>の互選について</w:t>
      </w:r>
      <w:r w:rsidRPr="00627924">
        <w:rPr>
          <w:rFonts w:ascii="ＭＳ 明朝" w:eastAsia="ＭＳ 明朝" w:hAnsi="ＭＳ 明朝" w:hint="eastAsia"/>
          <w:sz w:val="20"/>
          <w:szCs w:val="20"/>
        </w:rPr>
        <w:t>②</w:t>
      </w:r>
      <w:r w:rsidR="00846EFD">
        <w:rPr>
          <w:rFonts w:ascii="ＭＳ 明朝" w:eastAsia="ＭＳ 明朝" w:hAnsi="ＭＳ 明朝" w:hint="eastAsia"/>
          <w:sz w:val="20"/>
          <w:szCs w:val="20"/>
        </w:rPr>
        <w:t>「</w:t>
      </w:r>
      <w:r w:rsidRPr="00627924">
        <w:rPr>
          <w:rFonts w:ascii="ＭＳ 明朝" w:eastAsia="ＭＳ 明朝" w:hAnsi="ＭＳ 明朝" w:hint="eastAsia"/>
          <w:sz w:val="20"/>
          <w:szCs w:val="20"/>
        </w:rPr>
        <w:t>インテリアライフ</w:t>
      </w:r>
      <w:r w:rsidR="00846EFD">
        <w:rPr>
          <w:rFonts w:ascii="ＭＳ 明朝" w:eastAsia="ＭＳ 明朝" w:hAnsi="ＭＳ 明朝" w:hint="eastAsia"/>
          <w:sz w:val="20"/>
          <w:szCs w:val="20"/>
        </w:rPr>
        <w:t>スタイル2015」について意見交換</w:t>
      </w:r>
      <w:r w:rsidRPr="00F210DF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3F675F" w:rsidRPr="00B83A9D" w:rsidRDefault="003F675F" w:rsidP="003F675F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B83A9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19日（</w:t>
      </w:r>
      <w:r w:rsidR="00B83A9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金</w:t>
      </w:r>
      <w:r w:rsidRPr="00B83A9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B83A9D" w:rsidRPr="00B83A9D" w:rsidRDefault="00B83A9D" w:rsidP="00B83A9D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9711D7">
        <w:rPr>
          <w:rFonts w:ascii="ＭＳ 明朝" w:eastAsia="ＭＳ 明朝" w:hAnsi="ＭＳ 明朝" w:hint="eastAsia"/>
          <w:sz w:val="20"/>
          <w:szCs w:val="20"/>
        </w:rPr>
        <w:t>（東京）「第</w:t>
      </w:r>
      <w:r>
        <w:rPr>
          <w:rFonts w:ascii="ＭＳ 明朝" w:eastAsia="ＭＳ 明朝" w:hAnsi="ＭＳ 明朝" w:hint="eastAsia"/>
          <w:sz w:val="20"/>
          <w:szCs w:val="20"/>
        </w:rPr>
        <w:t>99</w:t>
      </w:r>
      <w:r w:rsidRPr="009711D7">
        <w:rPr>
          <w:rFonts w:ascii="ＭＳ 明朝" w:eastAsia="ＭＳ 明朝" w:hAnsi="ＭＳ 明朝" w:hint="eastAsia"/>
          <w:sz w:val="20"/>
          <w:szCs w:val="20"/>
        </w:rPr>
        <w:t>回アパレル委員会及び情報交換会」が開催され①</w:t>
      </w:r>
      <w:r w:rsidRPr="00B83A9D">
        <w:rPr>
          <w:rFonts w:ascii="ＭＳ 明朝" w:eastAsia="ＭＳ 明朝" w:hAnsi="ＭＳ 明朝"/>
          <w:sz w:val="20"/>
          <w:szCs w:val="20"/>
        </w:rPr>
        <w:t>正副委員長の互選について</w:t>
      </w:r>
      <w:r w:rsidRPr="00B83A9D">
        <w:rPr>
          <w:rFonts w:ascii="ＭＳ 明朝" w:eastAsia="ＭＳ 明朝" w:hAnsi="ＭＳ 明朝" w:hint="eastAsia"/>
          <w:sz w:val="20"/>
          <w:szCs w:val="20"/>
        </w:rPr>
        <w:t>②</w:t>
      </w:r>
      <w:r>
        <w:rPr>
          <w:rFonts w:ascii="ＭＳ 明朝" w:eastAsia="ＭＳ 明朝" w:hAnsi="ＭＳ 明朝" w:hint="eastAsia"/>
          <w:sz w:val="20"/>
          <w:szCs w:val="20"/>
        </w:rPr>
        <w:t>情報交換が行われた。</w:t>
      </w:r>
    </w:p>
    <w:p w:rsidR="0069381D" w:rsidRPr="00711B51" w:rsidRDefault="0069381D" w:rsidP="0069381D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711B51"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25</w:t>
      </w:r>
      <w:r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日（木）</w:t>
      </w:r>
    </w:p>
    <w:p w:rsidR="0069381D" w:rsidRPr="00711B51" w:rsidRDefault="0069381D" w:rsidP="0069381D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711B51">
        <w:rPr>
          <w:rFonts w:asciiTheme="minorEastAsia" w:eastAsiaTheme="minorEastAsia" w:hAnsiTheme="minorEastAsia" w:hint="eastAsia"/>
          <w:sz w:val="20"/>
          <w:szCs w:val="20"/>
        </w:rPr>
        <w:t>（上海）「上海分会・第</w:t>
      </w:r>
      <w:r w:rsidR="00887E58"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711B51">
        <w:rPr>
          <w:rFonts w:asciiTheme="minorEastAsia" w:eastAsiaTheme="minorEastAsia" w:hAnsiTheme="minorEastAsia" w:hint="eastAsia"/>
          <w:sz w:val="20"/>
          <w:szCs w:val="20"/>
        </w:rPr>
        <w:t>回管理部門分科会」が開催され、活発な意見交換が行われた。</w:t>
      </w:r>
    </w:p>
    <w:p w:rsidR="009C134A" w:rsidRPr="00711B51" w:rsidRDefault="009C134A" w:rsidP="009C134A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2</w:t>
      </w:r>
      <w:r w:rsidR="00711B51"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6</w:t>
      </w:r>
      <w:r w:rsidRPr="00711B5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日（金）</w:t>
      </w:r>
    </w:p>
    <w:p w:rsidR="00395B56" w:rsidRDefault="00395B56" w:rsidP="009C134A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（東京）ベトナム商工省、工業貿易情報センター等政府機関が来日、</w:t>
      </w:r>
      <w:r w:rsidR="00682F0A">
        <w:rPr>
          <w:rFonts w:asciiTheme="minorEastAsia" w:eastAsiaTheme="minorEastAsia" w:hAnsiTheme="minorEastAsia" w:hint="eastAsia"/>
          <w:sz w:val="20"/>
          <w:szCs w:val="20"/>
        </w:rPr>
        <w:t>ベトナムの繊維</w:t>
      </w:r>
      <w:r w:rsidR="003F2F41">
        <w:rPr>
          <w:rFonts w:asciiTheme="minorEastAsia" w:eastAsiaTheme="minorEastAsia" w:hAnsiTheme="minorEastAsia" w:hint="eastAsia"/>
          <w:sz w:val="20"/>
          <w:szCs w:val="20"/>
        </w:rPr>
        <w:t>製品</w:t>
      </w:r>
      <w:r w:rsidR="00682F0A">
        <w:rPr>
          <w:rFonts w:asciiTheme="minorEastAsia" w:eastAsiaTheme="minorEastAsia" w:hAnsiTheme="minorEastAsia" w:hint="eastAsia"/>
          <w:sz w:val="20"/>
          <w:szCs w:val="20"/>
        </w:rPr>
        <w:t>に関する</w:t>
      </w:r>
      <w:r w:rsidR="00E06644">
        <w:rPr>
          <w:rFonts w:asciiTheme="minorEastAsia" w:eastAsiaTheme="minorEastAsia" w:hAnsiTheme="minorEastAsia" w:hint="eastAsia"/>
          <w:sz w:val="20"/>
          <w:szCs w:val="20"/>
        </w:rPr>
        <w:t>評価とブランド化及び輸出拡大等について</w:t>
      </w:r>
      <w:r>
        <w:rPr>
          <w:rFonts w:asciiTheme="minorEastAsia" w:eastAsiaTheme="minorEastAsia" w:hAnsiTheme="minorEastAsia" w:hint="eastAsia"/>
          <w:sz w:val="20"/>
          <w:szCs w:val="20"/>
        </w:rPr>
        <w:t>ヒアリングが行われた。</w:t>
      </w:r>
    </w:p>
    <w:p w:rsidR="009C134A" w:rsidRPr="00711B51" w:rsidRDefault="009C134A" w:rsidP="009C134A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pacing w:val="4"/>
          <w:sz w:val="20"/>
          <w:szCs w:val="20"/>
        </w:rPr>
      </w:pPr>
      <w:r w:rsidRPr="00711B51">
        <w:rPr>
          <w:rFonts w:asciiTheme="minorEastAsia" w:eastAsiaTheme="minorEastAsia" w:hAnsiTheme="minorEastAsia" w:hint="eastAsia"/>
          <w:sz w:val="20"/>
          <w:szCs w:val="20"/>
        </w:rPr>
        <w:t>（上海）</w:t>
      </w:r>
      <w:r w:rsidRPr="00711B51">
        <w:rPr>
          <w:rFonts w:asciiTheme="minorEastAsia" w:eastAsiaTheme="minorEastAsia" w:hAnsiTheme="minorEastAsia" w:hint="eastAsia"/>
          <w:spacing w:val="4"/>
          <w:sz w:val="20"/>
          <w:szCs w:val="20"/>
        </w:rPr>
        <w:t>「第</w:t>
      </w:r>
      <w:r w:rsidR="00711B51">
        <w:rPr>
          <w:rFonts w:asciiTheme="minorEastAsia" w:eastAsiaTheme="minorEastAsia" w:hAnsiTheme="minorEastAsia" w:hint="eastAsia"/>
          <w:spacing w:val="4"/>
          <w:sz w:val="20"/>
          <w:szCs w:val="20"/>
        </w:rPr>
        <w:t>36</w:t>
      </w:r>
      <w:r w:rsidRPr="00711B51">
        <w:rPr>
          <w:rFonts w:asciiTheme="minorEastAsia" w:eastAsiaTheme="minorEastAsia" w:hAnsiTheme="minorEastAsia" w:hint="eastAsia"/>
          <w:spacing w:val="4"/>
          <w:sz w:val="20"/>
          <w:szCs w:val="20"/>
        </w:rPr>
        <w:t>回上海分会」が開催され、</w:t>
      </w:r>
      <w:r w:rsidR="00711B51" w:rsidRPr="00711B51">
        <w:rPr>
          <w:rFonts w:asciiTheme="minorEastAsia" w:eastAsiaTheme="minorEastAsia" w:hAnsiTheme="minorEastAsia"/>
          <w:spacing w:val="4"/>
          <w:sz w:val="20"/>
          <w:szCs w:val="20"/>
        </w:rPr>
        <w:t>リロ・パナソニック エクセルインターナショナル（上海）有限公司・</w:t>
      </w:r>
      <w:r w:rsidR="00711B51" w:rsidRPr="00711B51">
        <w:rPr>
          <w:rFonts w:asciiTheme="minorEastAsia" w:eastAsiaTheme="minorEastAsia" w:hAnsiTheme="minorEastAsia" w:hint="eastAsia"/>
          <w:spacing w:val="4"/>
          <w:sz w:val="20"/>
          <w:szCs w:val="20"/>
        </w:rPr>
        <w:t>岩田</w:t>
      </w:r>
      <w:r w:rsidR="00711B51" w:rsidRPr="00711B51">
        <w:rPr>
          <w:rFonts w:asciiTheme="minorEastAsia" w:eastAsiaTheme="minorEastAsia" w:hAnsiTheme="minorEastAsia"/>
          <w:spacing w:val="4"/>
          <w:sz w:val="20"/>
          <w:szCs w:val="20"/>
        </w:rPr>
        <w:t>営業部部長</w:t>
      </w:r>
      <w:r w:rsidRPr="00711B51">
        <w:rPr>
          <w:rFonts w:asciiTheme="minorEastAsia" w:eastAsiaTheme="minorEastAsia" w:hAnsiTheme="minorEastAsia" w:hint="eastAsia"/>
          <w:spacing w:val="4"/>
          <w:sz w:val="20"/>
          <w:szCs w:val="20"/>
        </w:rPr>
        <w:t>を講師に迎え「</w:t>
      </w:r>
      <w:r w:rsidR="00711B51" w:rsidRPr="00711B51">
        <w:rPr>
          <w:rFonts w:asciiTheme="minorEastAsia" w:eastAsiaTheme="minorEastAsia" w:hAnsiTheme="minorEastAsia"/>
          <w:spacing w:val="4"/>
          <w:sz w:val="20"/>
          <w:szCs w:val="20"/>
        </w:rPr>
        <w:t>実例から学ぶ～中国ビザ・出入国関連、日本国パスポート、日常生活の注意事項</w:t>
      </w:r>
      <w:r w:rsidRPr="00711B51">
        <w:rPr>
          <w:rFonts w:asciiTheme="minorEastAsia" w:eastAsiaTheme="minorEastAsia" w:hAnsiTheme="minorEastAsia" w:hint="eastAsia"/>
          <w:spacing w:val="4"/>
          <w:sz w:val="20"/>
          <w:szCs w:val="20"/>
        </w:rPr>
        <w:t>」と題して講演が行われた。</w:t>
      </w:r>
    </w:p>
    <w:p w:rsidR="00B803CE" w:rsidRPr="00F45983" w:rsidRDefault="00B803CE" w:rsidP="00B803CE">
      <w:pPr>
        <w:tabs>
          <w:tab w:val="left" w:pos="-2951"/>
          <w:tab w:val="left" w:pos="1362"/>
        </w:tabs>
        <w:spacing w:before="120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F45983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29日（</w:t>
      </w:r>
      <w:r w:rsidR="00F45983" w:rsidRPr="00F45983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月</w:t>
      </w:r>
      <w:r w:rsidRPr="00F45983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F45983" w:rsidRPr="00F45983" w:rsidRDefault="00F45983" w:rsidP="00F4598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45983">
        <w:rPr>
          <w:rFonts w:ascii="ＭＳ 明朝" w:eastAsia="ＭＳ 明朝" w:hAnsi="ＭＳ 明朝" w:hint="eastAsia"/>
          <w:sz w:val="20"/>
          <w:szCs w:val="20"/>
        </w:rPr>
        <w:t>（大阪）「第114回アパレル委員会・アジア州分科会」が開催され①本年度事業について②情報交換③その他について審議と説明が行われた。</w:t>
      </w:r>
    </w:p>
    <w:sectPr w:rsidR="00F45983" w:rsidRPr="00F45983" w:rsidSect="00D2566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EC" w:rsidRDefault="00F065EC" w:rsidP="0009713E">
      <w:r>
        <w:separator/>
      </w:r>
    </w:p>
  </w:endnote>
  <w:endnote w:type="continuationSeparator" w:id="0">
    <w:p w:rsidR="00F065EC" w:rsidRDefault="00F065EC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EC" w:rsidRDefault="00F065EC" w:rsidP="0009713E">
      <w:r>
        <w:separator/>
      </w:r>
    </w:p>
  </w:footnote>
  <w:footnote w:type="continuationSeparator" w:id="0">
    <w:p w:rsidR="00F065EC" w:rsidRDefault="00F065EC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2BC7"/>
    <w:rsid w:val="00026145"/>
    <w:rsid w:val="0004536B"/>
    <w:rsid w:val="000760EA"/>
    <w:rsid w:val="0009713E"/>
    <w:rsid w:val="000A0EFB"/>
    <w:rsid w:val="000F40C1"/>
    <w:rsid w:val="001402A5"/>
    <w:rsid w:val="001A4966"/>
    <w:rsid w:val="001B2D3C"/>
    <w:rsid w:val="001D4F10"/>
    <w:rsid w:val="001E5A7B"/>
    <w:rsid w:val="0020415F"/>
    <w:rsid w:val="002070B6"/>
    <w:rsid w:val="00233B68"/>
    <w:rsid w:val="00257E17"/>
    <w:rsid w:val="0028033A"/>
    <w:rsid w:val="002925DB"/>
    <w:rsid w:val="0034318E"/>
    <w:rsid w:val="00395B56"/>
    <w:rsid w:val="003C3A4F"/>
    <w:rsid w:val="003D2720"/>
    <w:rsid w:val="003D6E0A"/>
    <w:rsid w:val="003F2F41"/>
    <w:rsid w:val="003F675F"/>
    <w:rsid w:val="00401078"/>
    <w:rsid w:val="00461617"/>
    <w:rsid w:val="004970E3"/>
    <w:rsid w:val="004D3DF0"/>
    <w:rsid w:val="004E2B3D"/>
    <w:rsid w:val="0059253F"/>
    <w:rsid w:val="005A0201"/>
    <w:rsid w:val="00627924"/>
    <w:rsid w:val="00682F0A"/>
    <w:rsid w:val="0069381D"/>
    <w:rsid w:val="006E7394"/>
    <w:rsid w:val="00711B51"/>
    <w:rsid w:val="00746E6F"/>
    <w:rsid w:val="00752C8D"/>
    <w:rsid w:val="00760735"/>
    <w:rsid w:val="00774A9B"/>
    <w:rsid w:val="007B6183"/>
    <w:rsid w:val="00846EFD"/>
    <w:rsid w:val="0085057E"/>
    <w:rsid w:val="00857681"/>
    <w:rsid w:val="00887E58"/>
    <w:rsid w:val="00890893"/>
    <w:rsid w:val="0091610A"/>
    <w:rsid w:val="0098149E"/>
    <w:rsid w:val="009C134A"/>
    <w:rsid w:val="009C59A0"/>
    <w:rsid w:val="009E0A92"/>
    <w:rsid w:val="00A52DBC"/>
    <w:rsid w:val="00A5652C"/>
    <w:rsid w:val="00B436EE"/>
    <w:rsid w:val="00B75540"/>
    <w:rsid w:val="00B803CE"/>
    <w:rsid w:val="00B83A9D"/>
    <w:rsid w:val="00B8775C"/>
    <w:rsid w:val="00BB25B9"/>
    <w:rsid w:val="00BD733E"/>
    <w:rsid w:val="00BE6E62"/>
    <w:rsid w:val="00BF2C32"/>
    <w:rsid w:val="00C17B30"/>
    <w:rsid w:val="00C21B3C"/>
    <w:rsid w:val="00C373BA"/>
    <w:rsid w:val="00CB14B8"/>
    <w:rsid w:val="00CE0D8B"/>
    <w:rsid w:val="00D243E4"/>
    <w:rsid w:val="00D2566F"/>
    <w:rsid w:val="00D666EF"/>
    <w:rsid w:val="00DD1C3D"/>
    <w:rsid w:val="00E06644"/>
    <w:rsid w:val="00E911BA"/>
    <w:rsid w:val="00F065EC"/>
    <w:rsid w:val="00F210DF"/>
    <w:rsid w:val="00F45983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HTML">
    <w:name w:val="HTML Typewriter"/>
    <w:basedOn w:val="a0"/>
    <w:uiPriority w:val="99"/>
    <w:unhideWhenUsed/>
    <w:rsid w:val="00711B5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4</cp:revision>
  <dcterms:created xsi:type="dcterms:W3CDTF">2015-07-06T02:00:00Z</dcterms:created>
  <dcterms:modified xsi:type="dcterms:W3CDTF">2015-07-13T00:21:00Z</dcterms:modified>
</cp:coreProperties>
</file>